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pPr>
                    <w:spacing w:before="120"/>
                    <w:ind w:left="-36" w:right="-198"/>
                    <w:rPr>
                      <w:rFonts w:ascii="Segoe UI" w:hAnsi="Segoe UI" w:cs="Segoe UI"/>
                      <w:sz w:val="16"/>
                      <w:szCs w:val="16"/>
                    </w:rPr>
                  </w:pPr>
                  <w:r>
                    <w:rPr>
                      <w:rFonts w:ascii="Segoe UI" w:hAnsi="Segoe UI" w:cs="Segoe UI"/>
                      <w:sz w:val="16"/>
                      <w:szCs w:val="16"/>
                    </w:rPr>
                    <w:t>MiCollab AM internal number</w:t>
                  </w:r>
                </w:p>
                <w:p>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40"/>
              <w:gridCol w:w="608"/>
              <w:gridCol w:w="22"/>
            </w:tblGrid>
            <w:tr w:rsidR="001E23A0" w:rsidRPr="00394543" w:rsidTr="00096C2A">
              <w:trPr>
                <w:gridAfter w:val="1"/>
                <w:wAfter w:w="22" w:type="dxa"/>
              </w:trPr>
              <w:tc>
                <w:tcPr>
                  <w:tcW w:w="3413" w:type="dxa"/>
                  <w:gridSpan w:val="3"/>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096C2A">
              <w:trPr>
                <w:gridAfter w:val="1"/>
                <w:wAfter w:w="22" w:type="dxa"/>
              </w:trPr>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gridSpan w:val="2"/>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r w:rsidR="00096C2A" w:rsidRPr="00FA01A1" w:rsidTr="00096C2A">
              <w:tc>
                <w:tcPr>
                  <w:tcW w:w="3435" w:type="dxa"/>
                  <w:gridSpan w:val="4"/>
                  <w:tcBorders>
                    <w:top w:val="nil"/>
                    <w:bottom w:val="single" w:sz="18" w:space="0" w:color="2E74B5" w:themeColor="accent1" w:themeShade="BF"/>
                  </w:tcBorders>
                  <w:shd w:val="clear" w:color="auto" w:fill="auto"/>
                </w:tcPr>
                <w:p w:rsidR="00096C2A" w:rsidRPr="00FA01A1" w:rsidRDefault="00096C2A" w:rsidP="00096C2A">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While </w:t>
                  </w:r>
                  <w:r>
                    <w:rPr>
                      <w:rFonts w:ascii="Segoe UI Semibold" w:hAnsi="Segoe UI Semibold" w:cs="Segoe UI"/>
                      <w:bCs/>
                      <w:iCs/>
                      <w:color w:val="2E74B5" w:themeColor="accent1" w:themeShade="BF"/>
                      <w:sz w:val="20"/>
                      <w:szCs w:val="16"/>
                    </w:rPr>
                    <w:t>Replying to</w:t>
                  </w:r>
                  <w:r w:rsidRPr="00FA01A1">
                    <w:rPr>
                      <w:rFonts w:ascii="Segoe UI Semibold" w:hAnsi="Segoe UI Semibold" w:cs="Segoe UI"/>
                      <w:bCs/>
                      <w:iCs/>
                      <w:color w:val="2E74B5" w:themeColor="accent1" w:themeShade="BF"/>
                      <w:sz w:val="20"/>
                      <w:szCs w:val="16"/>
                    </w:rPr>
                    <w:t xml:space="preserve"> a Message</w:t>
                  </w:r>
                </w:p>
              </w:tc>
            </w:tr>
            <w:tr w:rsidR="00096C2A" w:rsidRPr="00394543" w:rsidTr="00096C2A">
              <w:tc>
                <w:tcPr>
                  <w:tcW w:w="2805" w:type="dxa"/>
                  <w:gridSpan w:val="2"/>
                  <w:tcBorders>
                    <w:top w:val="single" w:sz="18" w:space="0" w:color="2E74B5" w:themeColor="accent1" w:themeShade="BF"/>
                    <w:bottom w:val="nil"/>
                    <w:right w:val="nil"/>
                  </w:tcBorders>
                </w:tcPr>
                <w:p w:rsidR="00096C2A" w:rsidRPr="00394543" w:rsidRDefault="00096C2A" w:rsidP="00096C2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gridSpan w:val="2"/>
                  <w:tcBorders>
                    <w:top w:val="single" w:sz="18" w:space="0" w:color="2E74B5" w:themeColor="accent1" w:themeShade="BF"/>
                    <w:left w:val="nil"/>
                    <w:bottom w:val="nil"/>
                  </w:tcBorders>
                </w:tcPr>
                <w:p w:rsidR="00096C2A" w:rsidRPr="00394543" w:rsidRDefault="00096C2A" w:rsidP="00096C2A">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Select mailbox*</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1</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Record</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2</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extension*</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3</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number*</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4</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Default="00096C2A" w:rsidP="00096C2A">
                  <w:pPr>
                    <w:spacing w:before="40" w:after="40"/>
                    <w:rPr>
                      <w:rFonts w:ascii="Segoe UI" w:hAnsi="Segoe UI" w:cs="Segoe UI"/>
                      <w:bCs/>
                      <w:sz w:val="16"/>
                      <w:szCs w:val="16"/>
                    </w:rPr>
                  </w:pPr>
                  <w:r>
                    <w:rPr>
                      <w:rFonts w:ascii="Segoe UI" w:hAnsi="Segoe UI" w:cs="Segoe UI"/>
                      <w:bCs/>
                      <w:sz w:val="16"/>
                      <w:szCs w:val="16"/>
                    </w:rPr>
                    <w:t>Reply all*</w:t>
                  </w:r>
                </w:p>
              </w:tc>
              <w:tc>
                <w:tcPr>
                  <w:tcW w:w="630" w:type="dxa"/>
                  <w:gridSpan w:val="2"/>
                  <w:tcBorders>
                    <w:top w:val="nil"/>
                    <w:left w:val="nil"/>
                    <w:bottom w:val="nil"/>
                  </w:tcBorders>
                  <w:shd w:val="clear" w:color="auto" w:fill="BDD6EE" w:themeFill="accent1" w:themeFillTint="66"/>
                  <w:vAlign w:val="center"/>
                </w:tcPr>
                <w:p w:rsidR="00096C2A"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5</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pPr>
              <w:spacing w:before="120" w:after="120"/>
              <w:rPr>
                <w:rFonts w:ascii="Segoe UI" w:hAnsi="Segoe UI" w:cs="Segoe UI"/>
                <w:sz w:val="16"/>
              </w:rPr>
            </w:pPr>
            <w:r>
              <w:rPr>
                <w:rFonts w:ascii="Segoe UI" w:hAnsi="Segoe UI" w:cs="Segoe UI"/>
                <w:sz w:val="16"/>
              </w:rPr>
              <w:t>This MiCollab AM Pocket Guide has been produced as a completely editable Microsoft Word document. To produce it, do 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0208C7"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pPr>
              <w:pStyle w:val="ListParagraph"/>
              <w:spacing w:before="120" w:after="120"/>
              <w:ind w:left="-54"/>
              <w:rPr>
                <w:rFonts w:ascii="Segoe UI" w:hAnsi="Segoe UI" w:cs="Segoe UI"/>
              </w:rPr>
            </w:pPr>
            <w:r>
              <w:rPr>
                <w:rFonts w:ascii="Segoe UI" w:hAnsi="Segoe UI" w:cs="Segoe UI"/>
                <w:sz w:val="14"/>
              </w:rPr>
              <w:t>© Copyright 2022, Mitel Networks Corporation. All Rights Reserved. The information contained in this document is believed to be accurate in all respects but is not warranted by Mitel NetworksTM Corporation (MITEL®). Mitel makes no warranty of any kind with regards to this material, including, but not limited to, the implied warranties of merchantability and fitness for a particular purpose. The information is subject to change without notice and should not be construed in any way as a commitment by Mitel or any of its affiliates or subsidiaries. Mitel and its affiliates and subsidiaries assume no responsibility for any errors or omissions in this document. Revisions of this document or new editions of it may be issued to incorporate such changes. No part of this document can be reproduced or transmitted in any form or by any means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pPr>
              <w:ind w:left="62" w:right="43"/>
              <w:rPr>
                <w:rFonts w:ascii="Segoe UI" w:hAnsi="Segoe UI" w:cs="Segoe UI"/>
              </w:rPr>
            </w:pPr>
            <w:r>
              <w:rPr>
                <w:rFonts w:ascii="Segoe UI" w:hAnsi="Segoe UI" w:cs="Segoe UI"/>
                <w:sz w:val="14"/>
                <w:szCs w:val="14"/>
              </w:rPr>
              <w:t>* Depending on 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2C1F36" w:rsidRDefault="00802521">
                                  <w:pPr>
                                    <w:pStyle w:val="CoverPage-VersionInfo"/>
                                    <w:spacing w:before="0"/>
                                    <w:rPr>
                                      <w:sz w:val="20"/>
                                      <w:szCs w:val="72"/>
                                    </w:rPr>
                                  </w:pPr>
                                  <w:r>
                                    <w:rPr>
                                      <w:sz w:val="20"/>
                                    </w:rPr>
                                    <w:t>For version 9.4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2C1F36" w:rsidRDefault="00802521">
                            <w:pPr>
                              <w:pStyle w:val="CoverPage-VersionInfo"/>
                              <w:spacing w:before="0"/>
                              <w:rPr>
                                <w:sz w:val="20"/>
                                <w:szCs w:val="72"/>
                              </w:rPr>
                            </w:pPr>
                            <w:r>
                              <w:rPr>
                                <w:sz w:val="20"/>
                              </w:rPr>
                              <w:t>For version 9.4 and above</w:t>
                            </w:r>
                          </w:p>
                        </w:txbxContent>
                      </v:textbox>
                    </v:shape>
                  </w:pict>
                </mc:Fallback>
              </mc:AlternateContent>
            </w:r>
          </w:p>
          <w:p w:rsidR="006C0A11" w:rsidRDefault="000208C7">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6C0A11" w:rsidRDefault="000208C7">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6C0A11" w:rsidRDefault="000208C7">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9.4.0.3.1</w:t>
                                  </w:r>
                                </w:p>
                                <w:p w:rsidR="006C0A11" w:rsidRDefault="000208C7">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September 2022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6C0A11" w:rsidRDefault="000208C7">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6C0A11" w:rsidRDefault="000208C7">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9.4.0.3.1</w:t>
                            </w:r>
                          </w:p>
                          <w:p w:rsidR="006C0A11" w:rsidRDefault="000208C7">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September 2022</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802521" w:rsidP="00B41DDC">
                                  <w:pPr>
                                    <w:rPr>
                                      <w:rFonts w:ascii="Century Gothic" w:hAnsi="Century Gothic"/>
                                      <w:b/>
                                      <w:color w:val="FFFFFF" w:themeColor="background1"/>
                                      <w:sz w:val="22"/>
                                    </w:rPr>
                                  </w:pPr>
                                  <w:r w:rsidRPr="007C448E">
                                    <w:rPr>
                                      <w:noProof/>
                                    </w:rPr>
                                    <w:drawing>
                                      <wp:inline distT="0" distB="0" distL="0" distR="0" wp14:anchorId="450FA6B6" wp14:editId="047B6AAA">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802521" w:rsidP="00B41DDC">
                            <w:pPr>
                              <w:rPr>
                                <w:rFonts w:ascii="Century Gothic" w:hAnsi="Century Gothic"/>
                                <w:b/>
                                <w:color w:val="FFFFFF" w:themeColor="background1"/>
                                <w:sz w:val="22"/>
                              </w:rPr>
                            </w:pPr>
                            <w:r w:rsidRPr="007C448E">
                              <w:rPr>
                                <w:noProof/>
                              </w:rPr>
                              <w:drawing>
                                <wp:inline distT="0" distB="0" distL="0" distR="0" wp14:anchorId="450FA6B6" wp14:editId="047B6AAA">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In Word 20</w:t>
            </w:r>
            <w:r w:rsidR="004B059D">
              <w:rPr>
                <w:rFonts w:ascii="Segoe UI" w:hAnsi="Segoe UI" w:cs="Segoe UI"/>
                <w:sz w:val="16"/>
              </w:rPr>
              <w:t>1</w:t>
            </w:r>
            <w:r w:rsidRPr="00394543">
              <w:rPr>
                <w:rFonts w:ascii="Segoe UI" w:hAnsi="Segoe UI" w:cs="Segoe UI"/>
                <w:sz w:val="16"/>
              </w:rPr>
              <w:t xml:space="preserve">0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208C7"/>
    <w:rsid w:val="00080F17"/>
    <w:rsid w:val="00096C2A"/>
    <w:rsid w:val="000D3601"/>
    <w:rsid w:val="000E0CF2"/>
    <w:rsid w:val="000F6B14"/>
    <w:rsid w:val="00106561"/>
    <w:rsid w:val="001114DC"/>
    <w:rsid w:val="00157016"/>
    <w:rsid w:val="00163216"/>
    <w:rsid w:val="00177565"/>
    <w:rsid w:val="001A5F4C"/>
    <w:rsid w:val="001C78EB"/>
    <w:rsid w:val="001E23A0"/>
    <w:rsid w:val="001F70EE"/>
    <w:rsid w:val="0020217B"/>
    <w:rsid w:val="00270AFD"/>
    <w:rsid w:val="002B574B"/>
    <w:rsid w:val="002C1F36"/>
    <w:rsid w:val="00374CEA"/>
    <w:rsid w:val="00387CAB"/>
    <w:rsid w:val="00394543"/>
    <w:rsid w:val="003B41DC"/>
    <w:rsid w:val="00407495"/>
    <w:rsid w:val="00421BBB"/>
    <w:rsid w:val="00454BF9"/>
    <w:rsid w:val="004642B9"/>
    <w:rsid w:val="00471497"/>
    <w:rsid w:val="004B059D"/>
    <w:rsid w:val="0054685A"/>
    <w:rsid w:val="00574556"/>
    <w:rsid w:val="0057667F"/>
    <w:rsid w:val="00580C51"/>
    <w:rsid w:val="005947A1"/>
    <w:rsid w:val="005979B8"/>
    <w:rsid w:val="00632F54"/>
    <w:rsid w:val="00646F5A"/>
    <w:rsid w:val="006639B8"/>
    <w:rsid w:val="00664657"/>
    <w:rsid w:val="00664BAA"/>
    <w:rsid w:val="00680E2F"/>
    <w:rsid w:val="006C0A11"/>
    <w:rsid w:val="006D04B7"/>
    <w:rsid w:val="006D759A"/>
    <w:rsid w:val="0070477A"/>
    <w:rsid w:val="0073011D"/>
    <w:rsid w:val="00740FC8"/>
    <w:rsid w:val="00754AEC"/>
    <w:rsid w:val="007A342A"/>
    <w:rsid w:val="007C6020"/>
    <w:rsid w:val="007C718B"/>
    <w:rsid w:val="007E0896"/>
    <w:rsid w:val="00802521"/>
    <w:rsid w:val="00824E40"/>
    <w:rsid w:val="008C2D23"/>
    <w:rsid w:val="008C7D5B"/>
    <w:rsid w:val="008C7F28"/>
    <w:rsid w:val="008F20A4"/>
    <w:rsid w:val="008F6D94"/>
    <w:rsid w:val="0091463B"/>
    <w:rsid w:val="00926CE3"/>
    <w:rsid w:val="00930D7A"/>
    <w:rsid w:val="009D284A"/>
    <w:rsid w:val="00A12626"/>
    <w:rsid w:val="00AB30AE"/>
    <w:rsid w:val="00AC0802"/>
    <w:rsid w:val="00AC469B"/>
    <w:rsid w:val="00AF5270"/>
    <w:rsid w:val="00B015F4"/>
    <w:rsid w:val="00B13CFC"/>
    <w:rsid w:val="00B41DDC"/>
    <w:rsid w:val="00BD47EB"/>
    <w:rsid w:val="00C30402"/>
    <w:rsid w:val="00C4089A"/>
    <w:rsid w:val="00C54D2C"/>
    <w:rsid w:val="00D1049A"/>
    <w:rsid w:val="00D172C0"/>
    <w:rsid w:val="00D5155D"/>
    <w:rsid w:val="00D703B4"/>
    <w:rsid w:val="00D71F14"/>
    <w:rsid w:val="00D73DA5"/>
    <w:rsid w:val="00DC68E3"/>
    <w:rsid w:val="00DC7111"/>
    <w:rsid w:val="00DE4311"/>
    <w:rsid w:val="00DF3C54"/>
    <w:rsid w:val="00E972BA"/>
    <w:rsid w:val="00F0661C"/>
    <w:rsid w:val="00FA01A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2.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76CD55-F2DA-4189-9829-E0A14E1EDB50}">
  <ds:schemaRefs>
    <ds:schemaRef ds:uri="office.server.policy"/>
  </ds:schemaRefs>
</ds:datastoreItem>
</file>

<file path=customXml/itemProps4.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5.xml><?xml version="1.0" encoding="utf-8"?>
<ds:datastoreItem xmlns:ds="http://schemas.openxmlformats.org/officeDocument/2006/customXml" ds:itemID="{D8306D3E-A3C0-43D6-943E-7B05F72C6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Original Pocket QRC</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Pocket QRC</dc:title>
  <dc:subject/>
  <dc:creator/>
  <cp:keywords/>
  <dc:description/>
  <cp:lastModifiedBy>cxuser</cp:lastModifiedBy>
  <cp:revision>30</cp:revision>
  <cp:lastPrinted>2015-01-23T22:37:00Z</cp:lastPrinted>
  <dcterms:created xsi:type="dcterms:W3CDTF">2015-07-27T22:38:00Z</dcterms:created>
  <dcterms:modified xsi:type="dcterms:W3CDTF">2022-09-26T20:49:00Z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